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Integrating CLIL course workbook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8272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Module 3: Inclusive Input</w:t>
      </w: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003">
      <w:pPr>
        <w:rPr>
          <w:rFonts w:ascii="Caveat" w:cs="Caveat" w:eastAsia="Caveat" w:hAnsi="Caveat"/>
          <w:sz w:val="36"/>
          <w:szCs w:val="36"/>
        </w:rPr>
      </w:pPr>
      <w:r w:rsidDel="00000000" w:rsidR="00000000" w:rsidRPr="00000000">
        <w:rPr>
          <w:rFonts w:ascii="Caveat" w:cs="Caveat" w:eastAsia="Caveat" w:hAnsi="Caveat"/>
          <w:sz w:val="36"/>
          <w:szCs w:val="36"/>
          <w:rtl w:val="0"/>
        </w:rPr>
        <w:t xml:space="preserve">Please </w:t>
      </w:r>
      <w:r w:rsidDel="00000000" w:rsidR="00000000" w:rsidRPr="00000000">
        <w:rPr>
          <w:rFonts w:ascii="Caveat" w:cs="Caveat" w:eastAsia="Caveat" w:hAnsi="Caveat"/>
          <w:b w:val="1"/>
          <w:sz w:val="36"/>
          <w:szCs w:val="36"/>
          <w:rtl w:val="0"/>
        </w:rPr>
        <w:t xml:space="preserve">print this work book </w:t>
      </w:r>
      <w:r w:rsidDel="00000000" w:rsidR="00000000" w:rsidRPr="00000000">
        <w:rPr>
          <w:rFonts w:ascii="Caveat" w:cs="Caveat" w:eastAsia="Caveat" w:hAnsi="Caveat"/>
          <w:sz w:val="36"/>
          <w:szCs w:val="36"/>
          <w:rtl w:val="0"/>
        </w:rPr>
        <w:t xml:space="preserve">before the lesson or bring your laptop with you. </w:t>
      </w:r>
    </w:p>
    <w:p w:rsidR="00000000" w:rsidDel="00000000" w:rsidP="00000000" w:rsidRDefault="00000000" w:rsidRPr="00000000" w14:paraId="00000004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What does inclusion mean to you and for CLIL?</w:t>
      </w: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6">
                <w:pPr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Make notes here</w:t>
                </w:r>
              </w:p>
              <w:p w:rsidR="00000000" w:rsidDel="00000000" w:rsidP="00000000" w:rsidRDefault="00000000" w:rsidRPr="00000000" w14:paraId="00000007">
                <w:pPr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8">
                <w:pPr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9">
                <w:pPr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A">
                <w:pPr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B">
                <w:pPr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C">
                <w:pPr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D">
                <w:pPr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E">
                <w:pPr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F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Inclusive input scenarios</w:t>
      </w:r>
    </w:p>
    <w:p w:rsidR="00000000" w:rsidDel="00000000" w:rsidP="00000000" w:rsidRDefault="00000000" w:rsidRPr="00000000" w14:paraId="0000001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Read your scenario and the content information sheet. </w:t>
      </w: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949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495"/>
            <w:tblGridChange w:id="0">
              <w:tblGrid>
                <w:gridCol w:w="949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2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What 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support need(s)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 does the student in your scenario have?</w:t>
                </w:r>
              </w:p>
              <w:p w:rsidR="00000000" w:rsidDel="00000000" w:rsidP="00000000" w:rsidRDefault="00000000" w:rsidRPr="00000000" w14:paraId="00000013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4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5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90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6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What is the 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important language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 (vocabulary and phrases) for the lesson you are teaching?</w:t>
                </w:r>
              </w:p>
              <w:p w:rsidR="00000000" w:rsidDel="00000000" w:rsidP="00000000" w:rsidRDefault="00000000" w:rsidRPr="00000000" w14:paraId="00000017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8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9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A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B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C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E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F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57.2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0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What are the 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content learning outcomes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 (choose whichever you think would be most appropriate)?</w:t>
                </w:r>
              </w:p>
              <w:p w:rsidR="00000000" w:rsidDel="00000000" w:rsidP="00000000" w:rsidRDefault="00000000" w:rsidRPr="00000000" w14:paraId="00000021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2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3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4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5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6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7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28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List 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three to five ways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 you could help the student understand the language and the content.</w:t>
                </w:r>
              </w:p>
              <w:p w:rsidR="00000000" w:rsidDel="00000000" w:rsidP="00000000" w:rsidRDefault="00000000" w:rsidRPr="00000000" w14:paraId="00000029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A">
                <w:pPr>
                  <w:widowControl w:val="0"/>
                  <w:spacing w:line="240" w:lineRule="auto"/>
                  <w:rPr>
                    <w:rFonts w:ascii="Caveat" w:cs="Caveat" w:eastAsia="Caveat" w:hAnsi="Caveat"/>
                    <w:sz w:val="28"/>
                    <w:szCs w:val="2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B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D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E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F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0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1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2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3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4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5">
      <w:pPr>
        <w:ind w:left="0" w:firstLine="0"/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Authentic materials and where to find them</w:t>
      </w:r>
    </w:p>
    <w:sdt>
      <w:sdtPr>
        <w:lock w:val="contentLocked"/>
        <w:tag w:val="goog_rdk_2"/>
      </w:sdtPr>
      <w:sdtContent>
        <w:tbl>
          <w:tblPr>
            <w:tblStyle w:val="Table3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Make notes here about authentic material sources</w:t>
                </w:r>
              </w:p>
              <w:p w:rsidR="00000000" w:rsidDel="00000000" w:rsidP="00000000" w:rsidRDefault="00000000" w:rsidRPr="00000000" w14:paraId="0000003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44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  <w:u w:val="none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Homework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TASK ONE: Look at this </w:t>
      </w:r>
      <w:hyperlink r:id="rId8">
        <w:r w:rsidDel="00000000" w:rsidR="00000000" w:rsidRPr="00000000">
          <w:rPr>
            <w:rFonts w:ascii="Be Vietnam Pro" w:cs="Be Vietnam Pro" w:eastAsia="Be Vietnam Pro" w:hAnsi="Be Vietnam Pro"/>
            <w:color w:val="1155cc"/>
            <w:sz w:val="24"/>
            <w:szCs w:val="24"/>
            <w:u w:val="single"/>
            <w:rtl w:val="0"/>
          </w:rPr>
          <w:t xml:space="preserve">Genially</w:t>
        </w:r>
      </w:hyperlink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 and the authentic materials that interest you.</w:t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3"/>
      </w:sdtPr>
      <w:sdtContent>
        <w:tbl>
          <w:tblPr>
            <w:tblStyle w:val="Table4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Could any be useful for your lessons? Which ones? </w:t>
                </w:r>
              </w:p>
              <w:p w:rsidR="00000000" w:rsidDel="00000000" w:rsidP="00000000" w:rsidRDefault="00000000" w:rsidRPr="00000000" w14:paraId="0000004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How do you feel about adapting them for an inclusive CLIL lesson?</w:t>
                </w:r>
              </w:p>
              <w:p w:rsidR="00000000" w:rsidDel="00000000" w:rsidP="00000000" w:rsidRDefault="00000000" w:rsidRPr="00000000" w14:paraId="0000004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Make notes and record your questions / thoughts about adapting materials here:</w:t>
                </w:r>
              </w:p>
              <w:p w:rsidR="00000000" w:rsidDel="00000000" w:rsidP="00000000" w:rsidRDefault="00000000" w:rsidRPr="00000000" w14:paraId="0000004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6">
      <w:pPr>
        <w:ind w:left="0" w:firstLine="0"/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0" w:firstLine="0"/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TASK TWO: </w:t>
      </w:r>
    </w:p>
    <w:sdt>
      <w:sdtPr>
        <w:lock w:val="contentLocked"/>
        <w:tag w:val="goog_rdk_4"/>
      </w:sdtPr>
      <w:sdtContent>
        <w:tbl>
          <w:tblPr>
            <w:tblStyle w:val="Table5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Think about the topics you teach in the school year. Which do you think would work well with CLIL?</w:t>
                </w:r>
              </w:p>
              <w:p w:rsidR="00000000" w:rsidDel="00000000" w:rsidP="00000000" w:rsidRDefault="00000000" w:rsidRPr="00000000" w14:paraId="0000005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Make notes here:</w:t>
                </w:r>
              </w:p>
              <w:p w:rsidR="00000000" w:rsidDel="00000000" w:rsidP="00000000" w:rsidRDefault="00000000" w:rsidRPr="00000000" w14:paraId="0000005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Bring a topic idea and information about it to the next lesson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. It could be a text book page, website or other source (not a CLIL lesson plan!).  We’ll use it to start planning CLIL activities. </w:t>
                </w:r>
              </w:p>
            </w:tc>
          </w:tr>
        </w:tbl>
      </w:sdtContent>
    </w:sdt>
    <w:p w:rsidR="00000000" w:rsidDel="00000000" w:rsidP="00000000" w:rsidRDefault="00000000" w:rsidRPr="00000000" w14:paraId="00000065">
      <w:pPr>
        <w:ind w:left="0" w:firstLine="0"/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0" w:firstLine="0"/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hd w:fill="ffffff" w:val="clear"/>
        <w:spacing w:after="44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Be Vietnam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view.genially.com/66617f63b04e380014ec7942/interactive-content-clil-authentic-materials-and-where-to-find-the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BeVietnamPro-regular.ttf"/><Relationship Id="rId4" Type="http://schemas.openxmlformats.org/officeDocument/2006/relationships/font" Target="fonts/BeVietnamPro-bold.ttf"/><Relationship Id="rId5" Type="http://schemas.openxmlformats.org/officeDocument/2006/relationships/font" Target="fonts/BeVietnamPro-italic.ttf"/><Relationship Id="rId6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6Pb99pJbO6qYJO4oCHxd9reL5Q==">CgMxLjAaHwoBMBIaChgICVIUChJ0YWJsZS5maXh1aGl0ZDBtNzUaHwoBMRIaChgICVIUChJ0YWJsZS44cDduc2tkeGFybjUaHwoBMhIaChgICVIUChJ0YWJsZS51c2F1MHR0cXY3bmoaHwoBMxIaChgICVIUChJ0YWJsZS43bHl0OGVoeGMzYXIaHwoBNBIaChgICVIUChJ0YWJsZS50cXF2a2g0aTB1MWU4AHIhMTRqM3h5a04ydDlPQWhNVVVyUHdtdlNWcG1zdGNBTmRv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2024-05-15T13:27:00Z</dcterms:created>
  <dc:creator>Catherine Stevenson</dc:creator>
</cp:coreProperties>
</file>